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Tributi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Tributi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Iscrizione a ruolo entrate tributarie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nell'iscrivere a ruolo le entrate tributarie a seguito dell'inadempimento del contribuente.</w:t>
            </w:r>
          </w:p>
          <w:p w:rsidR="00907FC9" w:rsidRDefault="000518AD">
            <w:pPr>
              <w:jc w:val="both"/>
            </w:pPr>
            <w:r>
              <w:rPr>
                <w:rFonts w:ascii="Arial" w:hAnsi="Arial"/>
              </w:rPr>
              <w:t>Come per i tributi dai quali hanno ereditato la struttura impositiv</w:t>
            </w:r>
            <w:r>
              <w:rPr>
                <w:rFonts w:ascii="Arial" w:hAnsi="Arial"/>
              </w:rPr>
              <w:t>a (Ici e Tarsu) conclusa la fase accertativa, per le somme certe, liquide ed esigibili, frutto di avvisi di accertamento regolarmente notificati, non pagati e non contestati, l'ente deve provvedere a emettere il titolo esecutivo, trovandosi di fronte a una</w:t>
            </w:r>
            <w:r>
              <w:rPr>
                <w:rFonts w:ascii="Arial" w:hAnsi="Arial"/>
              </w:rPr>
              <w:t xml:space="preserve"> duplice soluzione:</w:t>
            </w:r>
          </w:p>
          <w:p w:rsidR="00907FC9" w:rsidRDefault="000518AD">
            <w:pPr>
              <w:jc w:val="both"/>
            </w:pPr>
            <w:r>
              <w:rPr>
                <w:rFonts w:ascii="Arial" w:hAnsi="Arial"/>
              </w:rPr>
              <w:t>a) la riscossione diretta anche nella fase coattiva attraverso l'emissione dell'ingiunzione di pagamento, in base al regio decreto 639/1910 rinforzata dall'assimilazione al titolo II del Dpr 602/1973;</w:t>
            </w:r>
          </w:p>
          <w:p w:rsidR="00907FC9" w:rsidRDefault="000518AD">
            <w:pPr>
              <w:jc w:val="both"/>
            </w:pPr>
            <w:r>
              <w:rPr>
                <w:rFonts w:ascii="Arial" w:hAnsi="Arial"/>
              </w:rPr>
              <w:t xml:space="preserve">b) l'emissione del ruolo coattivo, </w:t>
            </w:r>
            <w:r>
              <w:rPr>
                <w:rFonts w:ascii="Arial" w:hAnsi="Arial"/>
              </w:rPr>
              <w:t>in base al Dpr 602/1973 e del Dlgs 112/1999.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Decreti legislativi di riforma delle sanzioni tributarie - L. 212/2000 (Statuto del contribuente) - L. 296/2006 - Regolamento generale delle entrate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 IndirizzoPiazza Signorelli n.1</w:t>
            </w:r>
          </w:p>
          <w:p w:rsidR="00907FC9" w:rsidRDefault="000518AD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907FC9" w:rsidRDefault="000518AD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907FC9" w:rsidRDefault="000518AD">
            <w:pPr>
              <w:jc w:val="both"/>
            </w:pPr>
            <w:r>
              <w:rPr>
                <w:rFonts w:ascii="Arial" w:hAnsi="Arial"/>
              </w:rPr>
              <w:t>EMail:tributi@comune.parona.pv.it</w:t>
            </w:r>
          </w:p>
          <w:p w:rsidR="00907FC9" w:rsidRDefault="000518AD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907FC9" w:rsidRDefault="000518AD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0518AD" w:rsidRDefault="000518AD" w:rsidP="000518AD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907FC9" w:rsidRDefault="000518AD" w:rsidP="000518AD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907FC9" w:rsidRDefault="000518AD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07FC9" w:rsidRDefault="000518AD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07FC9" w:rsidRDefault="000518AD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07FC9" w:rsidRDefault="000518AD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07FC9" w:rsidRDefault="000518A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normativa specifica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518A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518AD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07FC9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D6E2E52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2026-06-12T19:38:00Z</dcterms:modified>
</cp:coreProperties>
</file>